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54CF5" w14:textId="77777777" w:rsidR="00E46F9C" w:rsidRDefault="00B45B6C" w:rsidP="006125D7">
      <w:pPr>
        <w:pStyle w:val="Heading1"/>
        <w:rPr>
          <w:rFonts w:cstheme="majorHAnsi"/>
          <w:sz w:val="36"/>
        </w:rPr>
      </w:pPr>
      <w:r w:rsidRPr="006125D7">
        <w:rPr>
          <w:rFonts w:cstheme="majorHAnsi"/>
          <w:color w:val="auto"/>
          <w:sz w:val="36"/>
        </w:rPr>
        <w:t>The promises and perils of</w:t>
      </w:r>
      <w:r w:rsidR="00992C84" w:rsidRPr="006125D7">
        <w:rPr>
          <w:rFonts w:cstheme="majorHAnsi"/>
          <w:color w:val="auto"/>
          <w:sz w:val="36"/>
        </w:rPr>
        <w:t xml:space="preserve"> t</w:t>
      </w:r>
      <w:r w:rsidR="00FB45F5" w:rsidRPr="006125D7">
        <w:rPr>
          <w:rFonts w:cstheme="majorHAnsi"/>
          <w:color w:val="auto"/>
          <w:sz w:val="36"/>
        </w:rPr>
        <w:t>heory-based evaluation</w:t>
      </w:r>
      <w:r w:rsidR="001765C6" w:rsidRPr="006125D7">
        <w:rPr>
          <w:rFonts w:cstheme="majorHAnsi"/>
          <w:color w:val="auto"/>
          <w:sz w:val="36"/>
        </w:rPr>
        <w:t>s</w:t>
      </w:r>
      <w:r w:rsidR="00FB45F5" w:rsidRPr="006125D7">
        <w:rPr>
          <w:rFonts w:cstheme="majorHAnsi"/>
          <w:color w:val="auto"/>
          <w:sz w:val="36"/>
        </w:rPr>
        <w:t xml:space="preserve"> </w:t>
      </w:r>
      <w:r w:rsidRPr="006125D7">
        <w:rPr>
          <w:rFonts w:cstheme="majorHAnsi"/>
          <w:color w:val="auto"/>
          <w:sz w:val="36"/>
        </w:rPr>
        <w:t>for</w:t>
      </w:r>
      <w:r w:rsidR="001765C6" w:rsidRPr="006125D7">
        <w:rPr>
          <w:rFonts w:cstheme="majorHAnsi"/>
          <w:color w:val="auto"/>
          <w:sz w:val="36"/>
        </w:rPr>
        <w:t xml:space="preserve"> </w:t>
      </w:r>
      <w:r w:rsidR="004B7C03" w:rsidRPr="006125D7">
        <w:rPr>
          <w:rFonts w:cstheme="majorHAnsi"/>
          <w:color w:val="auto"/>
          <w:sz w:val="36"/>
        </w:rPr>
        <w:t xml:space="preserve">cross-sector </w:t>
      </w:r>
      <w:r w:rsidR="00E46F9C" w:rsidRPr="006125D7">
        <w:rPr>
          <w:rFonts w:cstheme="majorHAnsi"/>
          <w:color w:val="auto"/>
          <w:sz w:val="36"/>
        </w:rPr>
        <w:t>partnerships</w:t>
      </w:r>
    </w:p>
    <w:p w14:paraId="0C563FE1" w14:textId="77777777" w:rsidR="009D4432" w:rsidRPr="006125D7" w:rsidRDefault="009D4432" w:rsidP="006125D7"/>
    <w:p w14:paraId="40F95294" w14:textId="2FE189AE" w:rsidR="00FB45F5" w:rsidRPr="006125D7" w:rsidRDefault="005C26CB" w:rsidP="009D4432">
      <w:pPr>
        <w:rPr>
          <w:rFonts w:ascii="Times New Roman" w:hAnsi="Times New Roman" w:cs="Times New Roman"/>
          <w:i/>
        </w:rPr>
      </w:pPr>
      <w:r w:rsidRPr="006125D7">
        <w:rPr>
          <w:rFonts w:ascii="Times New Roman" w:hAnsi="Times New Roman" w:cs="Times New Roman"/>
        </w:rPr>
        <w:t>Marijn Faling</w:t>
      </w:r>
      <w:r w:rsidR="00306659" w:rsidRPr="006125D7">
        <w:rPr>
          <w:rFonts w:ascii="Times New Roman" w:hAnsi="Times New Roman" w:cs="Times New Roman"/>
        </w:rPr>
        <w:t>,</w:t>
      </w:r>
      <w:r w:rsidR="00FB45F5" w:rsidRPr="006125D7">
        <w:rPr>
          <w:rFonts w:ascii="Times New Roman" w:hAnsi="Times New Roman" w:cs="Times New Roman"/>
        </w:rPr>
        <w:t xml:space="preserve"> </w:t>
      </w:r>
      <w:r w:rsidR="00FB45F5" w:rsidRPr="006125D7">
        <w:rPr>
          <w:rFonts w:ascii="Times New Roman" w:hAnsi="Times New Roman" w:cs="Times New Roman"/>
          <w:i/>
        </w:rPr>
        <w:t>Partnerships Resource Centre, Rotterdam School of Management, Erasmus University, the Netherlands (</w:t>
      </w:r>
      <w:hyperlink r:id="rId6" w:history="1">
        <w:r w:rsidR="00FB45F5" w:rsidRPr="006125D7">
          <w:rPr>
            <w:rStyle w:val="Hyperlink"/>
            <w:rFonts w:ascii="Times New Roman" w:hAnsi="Times New Roman" w:cs="Times New Roman"/>
            <w:i/>
          </w:rPr>
          <w:t>faling@rsm.nl</w:t>
        </w:r>
      </w:hyperlink>
      <w:r w:rsidR="00FB45F5" w:rsidRPr="006125D7">
        <w:rPr>
          <w:rFonts w:ascii="Times New Roman" w:hAnsi="Times New Roman" w:cs="Times New Roman"/>
          <w:i/>
        </w:rPr>
        <w:t>)</w:t>
      </w:r>
    </w:p>
    <w:p w14:paraId="37E1D37B" w14:textId="77777777" w:rsidR="00FB45F5" w:rsidRPr="006125D7" w:rsidRDefault="005C26CB" w:rsidP="009D4432">
      <w:pPr>
        <w:rPr>
          <w:rFonts w:ascii="Times New Roman" w:hAnsi="Times New Roman" w:cs="Times New Roman"/>
          <w:i/>
        </w:rPr>
      </w:pPr>
      <w:r w:rsidRPr="006125D7">
        <w:rPr>
          <w:rFonts w:ascii="Times New Roman" w:hAnsi="Times New Roman" w:cs="Times New Roman"/>
        </w:rPr>
        <w:t>Greetje Schouten</w:t>
      </w:r>
      <w:r w:rsidR="00306659" w:rsidRPr="006125D7">
        <w:rPr>
          <w:rFonts w:ascii="Times New Roman" w:hAnsi="Times New Roman" w:cs="Times New Roman"/>
        </w:rPr>
        <w:t>,</w:t>
      </w:r>
      <w:r w:rsidR="00FB45F5" w:rsidRPr="006125D7">
        <w:rPr>
          <w:rFonts w:ascii="Times New Roman" w:hAnsi="Times New Roman" w:cs="Times New Roman"/>
        </w:rPr>
        <w:t xml:space="preserve"> </w:t>
      </w:r>
      <w:r w:rsidR="00FB45F5" w:rsidRPr="006125D7">
        <w:rPr>
          <w:rFonts w:ascii="Times New Roman" w:hAnsi="Times New Roman" w:cs="Times New Roman"/>
          <w:i/>
        </w:rPr>
        <w:t>Partnerships Resource Centre, Rotterdam School of Management, Erasmus University, the Netherlands (</w:t>
      </w:r>
      <w:hyperlink r:id="rId7" w:history="1">
        <w:r w:rsidR="00FB45F5" w:rsidRPr="006125D7">
          <w:rPr>
            <w:rStyle w:val="Hyperlink"/>
            <w:rFonts w:ascii="Times New Roman" w:hAnsi="Times New Roman" w:cs="Times New Roman"/>
            <w:i/>
          </w:rPr>
          <w:t>schouten@rsm.nl</w:t>
        </w:r>
      </w:hyperlink>
      <w:r w:rsidR="00FB45F5" w:rsidRPr="006125D7">
        <w:rPr>
          <w:rFonts w:ascii="Times New Roman" w:hAnsi="Times New Roman" w:cs="Times New Roman"/>
          <w:i/>
        </w:rPr>
        <w:t>)</w:t>
      </w:r>
    </w:p>
    <w:p w14:paraId="6D7AD5BF" w14:textId="77777777" w:rsidR="005C26CB" w:rsidRPr="006125D7" w:rsidRDefault="00FB45F5" w:rsidP="009D4432">
      <w:pPr>
        <w:rPr>
          <w:rFonts w:ascii="Times New Roman" w:hAnsi="Times New Roman" w:cs="Times New Roman"/>
        </w:rPr>
      </w:pPr>
      <w:r w:rsidRPr="006125D7">
        <w:rPr>
          <w:rFonts w:ascii="Times New Roman" w:hAnsi="Times New Roman" w:cs="Times New Roman"/>
        </w:rPr>
        <w:t xml:space="preserve">Sietze Vellema, </w:t>
      </w:r>
      <w:r w:rsidRPr="006125D7">
        <w:rPr>
          <w:rFonts w:ascii="Times New Roman" w:hAnsi="Times New Roman" w:cs="Times New Roman"/>
          <w:i/>
        </w:rPr>
        <w:t xml:space="preserve">Knowledge, Technology and Innovation group, </w:t>
      </w:r>
      <w:proofErr w:type="spellStart"/>
      <w:r w:rsidRPr="006125D7">
        <w:rPr>
          <w:rFonts w:ascii="Times New Roman" w:hAnsi="Times New Roman" w:cs="Times New Roman"/>
          <w:i/>
        </w:rPr>
        <w:t>Wageningen</w:t>
      </w:r>
      <w:proofErr w:type="spellEnd"/>
      <w:r w:rsidRPr="006125D7">
        <w:rPr>
          <w:rFonts w:ascii="Times New Roman" w:hAnsi="Times New Roman" w:cs="Times New Roman"/>
          <w:i/>
        </w:rPr>
        <w:t xml:space="preserve"> University, the Netherlands (</w:t>
      </w:r>
      <w:hyperlink r:id="rId8" w:history="1">
        <w:r w:rsidRPr="006125D7">
          <w:rPr>
            <w:rStyle w:val="Hyperlink"/>
            <w:rFonts w:ascii="Times New Roman" w:hAnsi="Times New Roman" w:cs="Times New Roman"/>
            <w:i/>
          </w:rPr>
          <w:t>Sietze.vellema@wur.nl</w:t>
        </w:r>
      </w:hyperlink>
      <w:r w:rsidRPr="006125D7">
        <w:rPr>
          <w:rFonts w:ascii="Times New Roman" w:hAnsi="Times New Roman" w:cs="Times New Roman"/>
          <w:i/>
        </w:rPr>
        <w:t>)</w:t>
      </w:r>
      <w:r w:rsidRPr="006125D7">
        <w:rPr>
          <w:rFonts w:ascii="Times New Roman" w:hAnsi="Times New Roman" w:cs="Times New Roman"/>
        </w:rPr>
        <w:t xml:space="preserve"> </w:t>
      </w:r>
    </w:p>
    <w:p w14:paraId="3368A8ED" w14:textId="237068AB" w:rsidR="0003508A" w:rsidRDefault="009D4432" w:rsidP="006125D7">
      <w:pPr>
        <w:jc w:val="both"/>
        <w:rPr>
          <w:rFonts w:ascii="Times New Roman" w:hAnsi="Times New Roman" w:cs="Times New Roman"/>
        </w:rPr>
      </w:pPr>
      <w:r w:rsidRPr="009D4432">
        <w:rPr>
          <w:rFonts w:ascii="Times New Roman" w:hAnsi="Times New Roman" w:cs="Times New Roman"/>
        </w:rPr>
        <w:t>I</w:t>
      </w:r>
      <w:r w:rsidR="00DF1159" w:rsidRPr="006125D7">
        <w:rPr>
          <w:rFonts w:ascii="Times New Roman" w:hAnsi="Times New Roman" w:cs="Times New Roman"/>
        </w:rPr>
        <w:t>nterventions</w:t>
      </w:r>
      <w:r w:rsidR="00F67E71" w:rsidRPr="006125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implemented by</w:t>
      </w:r>
      <w:r w:rsidRPr="006125D7">
        <w:rPr>
          <w:rFonts w:ascii="Times New Roman" w:hAnsi="Times New Roman" w:cs="Times New Roman"/>
        </w:rPr>
        <w:t xml:space="preserve"> </w:t>
      </w:r>
      <w:r w:rsidR="00F67E71" w:rsidRPr="006125D7">
        <w:rPr>
          <w:rFonts w:ascii="Times New Roman" w:hAnsi="Times New Roman" w:cs="Times New Roman"/>
        </w:rPr>
        <w:t>multiple partners</w:t>
      </w:r>
      <w:r w:rsidR="00DF1159" w:rsidRPr="006125D7">
        <w:rPr>
          <w:rFonts w:ascii="Times New Roman" w:hAnsi="Times New Roman" w:cs="Times New Roman"/>
        </w:rPr>
        <w:t xml:space="preserve"> require evaluation tools that adequately capture the</w:t>
      </w:r>
      <w:r w:rsidRPr="009D4432">
        <w:rPr>
          <w:rFonts w:ascii="Times New Roman" w:hAnsi="Times New Roman" w:cs="Times New Roman"/>
        </w:rPr>
        <w:t>ir</w:t>
      </w:r>
      <w:r w:rsidR="00DF1159" w:rsidRPr="006125D7">
        <w:rPr>
          <w:rFonts w:ascii="Times New Roman" w:hAnsi="Times New Roman" w:cs="Times New Roman"/>
        </w:rPr>
        <w:t xml:space="preserve"> complexity </w:t>
      </w:r>
      <w:r w:rsidR="00932FB7" w:rsidRPr="006125D7">
        <w:rPr>
          <w:rFonts w:ascii="Times New Roman" w:hAnsi="Times New Roman" w:cs="Times New Roman"/>
        </w:rPr>
        <w:t>(van Tulder and Keen 2018</w:t>
      </w:r>
      <w:r w:rsidR="00C36FD5" w:rsidRPr="006125D7">
        <w:rPr>
          <w:rFonts w:ascii="Times New Roman" w:hAnsi="Times New Roman" w:cs="Times New Roman"/>
        </w:rPr>
        <w:t>, Vellema et al. 2017</w:t>
      </w:r>
      <w:r w:rsidR="00932FB7" w:rsidRPr="006125D7">
        <w:rPr>
          <w:rFonts w:ascii="Times New Roman" w:hAnsi="Times New Roman" w:cs="Times New Roman"/>
        </w:rPr>
        <w:t>)</w:t>
      </w:r>
      <w:r w:rsidR="00306659" w:rsidRPr="006125D7">
        <w:rPr>
          <w:rFonts w:ascii="Times New Roman" w:hAnsi="Times New Roman" w:cs="Times New Roman"/>
        </w:rPr>
        <w:t xml:space="preserve">. </w:t>
      </w:r>
      <w:r w:rsidR="002E27F9" w:rsidRPr="006125D7">
        <w:rPr>
          <w:rFonts w:ascii="Times New Roman" w:hAnsi="Times New Roman" w:cs="Times New Roman"/>
        </w:rPr>
        <w:t>Successful c</w:t>
      </w:r>
      <w:r w:rsidR="00596C92" w:rsidRPr="006125D7">
        <w:rPr>
          <w:rFonts w:ascii="Times New Roman" w:hAnsi="Times New Roman" w:cs="Times New Roman"/>
        </w:rPr>
        <w:t>ross-</w:t>
      </w:r>
      <w:r w:rsidR="002E27F9" w:rsidRPr="006125D7">
        <w:rPr>
          <w:rFonts w:ascii="Times New Roman" w:hAnsi="Times New Roman" w:cs="Times New Roman"/>
        </w:rPr>
        <w:t>sector partnerships</w:t>
      </w:r>
      <w:r>
        <w:rPr>
          <w:rFonts w:ascii="Times New Roman" w:hAnsi="Times New Roman" w:cs="Times New Roman"/>
        </w:rPr>
        <w:t xml:space="preserve"> (CSPs</w:t>
      </w:r>
      <w:r w:rsidR="001647F8">
        <w:rPr>
          <w:rFonts w:ascii="Times New Roman" w:hAnsi="Times New Roman" w:cs="Times New Roman"/>
        </w:rPr>
        <w:t>)</w:t>
      </w:r>
      <w:r w:rsidR="002E27F9" w:rsidRPr="006125D7">
        <w:rPr>
          <w:rFonts w:ascii="Times New Roman" w:hAnsi="Times New Roman" w:cs="Times New Roman"/>
        </w:rPr>
        <w:t xml:space="preserve"> are far from self-evident</w:t>
      </w:r>
      <w:r w:rsidR="001647F8">
        <w:rPr>
          <w:rFonts w:ascii="Times New Roman" w:hAnsi="Times New Roman" w:cs="Times New Roman"/>
        </w:rPr>
        <w:t xml:space="preserve"> as they </w:t>
      </w:r>
      <w:r w:rsidR="0082475A" w:rsidRPr="006125D7">
        <w:rPr>
          <w:rFonts w:ascii="Times New Roman" w:hAnsi="Times New Roman" w:cs="Times New Roman"/>
        </w:rPr>
        <w:t xml:space="preserve">are often embraced on the basis of untested assumptions, including </w:t>
      </w:r>
      <w:r w:rsidRPr="009D4432">
        <w:rPr>
          <w:rFonts w:ascii="Times New Roman" w:hAnsi="Times New Roman" w:cs="Times New Roman"/>
        </w:rPr>
        <w:t xml:space="preserve">the presence of </w:t>
      </w:r>
      <w:r w:rsidR="0082475A" w:rsidRPr="006125D7">
        <w:rPr>
          <w:rFonts w:ascii="Times New Roman" w:hAnsi="Times New Roman" w:cs="Times New Roman"/>
        </w:rPr>
        <w:t>complementarity of resources, inclusiveness, etc. (</w:t>
      </w:r>
      <w:proofErr w:type="spellStart"/>
      <w:r w:rsidR="0082475A" w:rsidRPr="006125D7">
        <w:rPr>
          <w:rFonts w:ascii="Times New Roman" w:hAnsi="Times New Roman" w:cs="Times New Roman"/>
        </w:rPr>
        <w:t>Dentoni</w:t>
      </w:r>
      <w:proofErr w:type="spellEnd"/>
      <w:r w:rsidR="0082475A" w:rsidRPr="006125D7">
        <w:rPr>
          <w:rFonts w:ascii="Times New Roman" w:hAnsi="Times New Roman" w:cs="Times New Roman"/>
        </w:rPr>
        <w:t xml:space="preserve"> et al. 2018). </w:t>
      </w:r>
      <w:r>
        <w:rPr>
          <w:rFonts w:ascii="Times New Roman" w:hAnsi="Times New Roman" w:cs="Times New Roman"/>
        </w:rPr>
        <w:t>S</w:t>
      </w:r>
      <w:r w:rsidR="002E27F9" w:rsidRPr="006125D7">
        <w:rPr>
          <w:rFonts w:ascii="Times New Roman" w:hAnsi="Times New Roman" w:cs="Times New Roman"/>
        </w:rPr>
        <w:t xml:space="preserve">ub-optimal partnering configurations, limited ambitions or ill partner fit </w:t>
      </w:r>
      <w:r>
        <w:rPr>
          <w:rFonts w:ascii="Times New Roman" w:hAnsi="Times New Roman" w:cs="Times New Roman"/>
        </w:rPr>
        <w:t>might</w:t>
      </w:r>
      <w:r w:rsidRPr="006125D7">
        <w:rPr>
          <w:rFonts w:ascii="Times New Roman" w:hAnsi="Times New Roman" w:cs="Times New Roman"/>
        </w:rPr>
        <w:t xml:space="preserve"> </w:t>
      </w:r>
      <w:r w:rsidR="002E27F9" w:rsidRPr="006125D7">
        <w:rPr>
          <w:rFonts w:ascii="Times New Roman" w:hAnsi="Times New Roman" w:cs="Times New Roman"/>
        </w:rPr>
        <w:t xml:space="preserve">hamper </w:t>
      </w:r>
      <w:r w:rsidRPr="009D4432">
        <w:rPr>
          <w:rFonts w:ascii="Times New Roman" w:hAnsi="Times New Roman" w:cs="Times New Roman"/>
        </w:rPr>
        <w:t>impact</w:t>
      </w:r>
      <w:r w:rsidR="004C2A29" w:rsidRPr="006125D7">
        <w:rPr>
          <w:rFonts w:ascii="Times New Roman" w:hAnsi="Times New Roman" w:cs="Times New Roman"/>
        </w:rPr>
        <w:t xml:space="preserve"> (Austin</w:t>
      </w:r>
      <w:r w:rsidR="002E27F9" w:rsidRPr="006125D7">
        <w:rPr>
          <w:rFonts w:ascii="Times New Roman" w:hAnsi="Times New Roman" w:cs="Times New Roman"/>
        </w:rPr>
        <w:t xml:space="preserve"> and </w:t>
      </w:r>
      <w:proofErr w:type="spellStart"/>
      <w:r w:rsidR="002E27F9" w:rsidRPr="006125D7">
        <w:rPr>
          <w:rFonts w:ascii="Times New Roman" w:hAnsi="Times New Roman" w:cs="Times New Roman"/>
        </w:rPr>
        <w:t>Seitanidi</w:t>
      </w:r>
      <w:proofErr w:type="spellEnd"/>
      <w:r w:rsidR="002E27F9" w:rsidRPr="006125D7">
        <w:rPr>
          <w:rFonts w:ascii="Times New Roman" w:hAnsi="Times New Roman" w:cs="Times New Roman"/>
        </w:rPr>
        <w:t xml:space="preserve"> 2012; van Tulder and Keen 2018)</w:t>
      </w:r>
      <w:r w:rsidR="004C2A29" w:rsidRPr="006125D7">
        <w:rPr>
          <w:rFonts w:ascii="Times New Roman" w:hAnsi="Times New Roman" w:cs="Times New Roman"/>
        </w:rPr>
        <w:t>.</w:t>
      </w:r>
      <w:r w:rsidR="00883CA1" w:rsidRPr="006125D7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impact</w:t>
      </w:r>
      <w:r w:rsidR="00883CA1" w:rsidRPr="006125D7">
        <w:rPr>
          <w:rFonts w:ascii="Times New Roman" w:hAnsi="Times New Roman" w:cs="Times New Roman"/>
        </w:rPr>
        <w:t xml:space="preserve"> of CSPs </w:t>
      </w:r>
      <w:r w:rsidRPr="009D4432">
        <w:rPr>
          <w:rFonts w:ascii="Times New Roman" w:hAnsi="Times New Roman" w:cs="Times New Roman"/>
        </w:rPr>
        <w:t>can thus</w:t>
      </w:r>
      <w:r w:rsidR="001647F8">
        <w:rPr>
          <w:rFonts w:ascii="Times New Roman" w:hAnsi="Times New Roman" w:cs="Times New Roman"/>
        </w:rPr>
        <w:t xml:space="preserve"> potentially</w:t>
      </w:r>
      <w:r w:rsidRPr="009D4432">
        <w:rPr>
          <w:rFonts w:ascii="Times New Roman" w:hAnsi="Times New Roman" w:cs="Times New Roman"/>
        </w:rPr>
        <w:t xml:space="preserve"> be improved by</w:t>
      </w:r>
      <w:r w:rsidR="00883CA1" w:rsidRPr="006125D7">
        <w:rPr>
          <w:rFonts w:ascii="Times New Roman" w:hAnsi="Times New Roman" w:cs="Times New Roman"/>
        </w:rPr>
        <w:t xml:space="preserve"> appropriate </w:t>
      </w:r>
      <w:r>
        <w:rPr>
          <w:rFonts w:ascii="Times New Roman" w:hAnsi="Times New Roman" w:cs="Times New Roman"/>
        </w:rPr>
        <w:t xml:space="preserve">monitoring and evaluation </w:t>
      </w:r>
      <w:r w:rsidR="00883CA1" w:rsidRPr="006125D7">
        <w:rPr>
          <w:rFonts w:ascii="Times New Roman" w:hAnsi="Times New Roman" w:cs="Times New Roman"/>
        </w:rPr>
        <w:t>approaches to unravel what works where</w:t>
      </w:r>
      <w:r w:rsidRPr="009D4432">
        <w:rPr>
          <w:rFonts w:ascii="Times New Roman" w:hAnsi="Times New Roman" w:cs="Times New Roman"/>
        </w:rPr>
        <w:t xml:space="preserve"> and</w:t>
      </w:r>
      <w:r w:rsidR="00883CA1" w:rsidRPr="006125D7">
        <w:rPr>
          <w:rFonts w:ascii="Times New Roman" w:hAnsi="Times New Roman" w:cs="Times New Roman"/>
        </w:rPr>
        <w:t xml:space="preserve"> for whom (van Tulder and Keen 2018).</w:t>
      </w:r>
      <w:r w:rsidR="0082475A" w:rsidRPr="006125D7">
        <w:rPr>
          <w:rFonts w:ascii="Times New Roman" w:hAnsi="Times New Roman" w:cs="Times New Roman"/>
        </w:rPr>
        <w:t xml:space="preserve"> </w:t>
      </w:r>
      <w:r w:rsidR="00FF0C2F" w:rsidRPr="006057E4">
        <w:rPr>
          <w:rFonts w:ascii="Times New Roman" w:hAnsi="Times New Roman" w:cs="Times New Roman"/>
          <w:highlight w:val="lightGray"/>
        </w:rPr>
        <w:t>I</w:t>
      </w:r>
      <w:r w:rsidR="00E72167" w:rsidRPr="006057E4">
        <w:rPr>
          <w:rFonts w:ascii="Times New Roman" w:hAnsi="Times New Roman" w:cs="Times New Roman"/>
          <w:highlight w:val="lightGray"/>
        </w:rPr>
        <w:t>mpacts of complex interventions are</w:t>
      </w:r>
      <w:r w:rsidR="00FF0C2F" w:rsidRPr="006057E4">
        <w:rPr>
          <w:rFonts w:ascii="Times New Roman" w:hAnsi="Times New Roman" w:cs="Times New Roman"/>
          <w:highlight w:val="lightGray"/>
        </w:rPr>
        <w:t xml:space="preserve"> generally</w:t>
      </w:r>
      <w:r w:rsidR="00E72167" w:rsidRPr="006057E4">
        <w:rPr>
          <w:rFonts w:ascii="Times New Roman" w:hAnsi="Times New Roman" w:cs="Times New Roman"/>
          <w:highlight w:val="lightGray"/>
        </w:rPr>
        <w:t xml:space="preserve"> difficult to measure due to lack of data and the long-term </w:t>
      </w:r>
      <w:r w:rsidR="00FF0C2F" w:rsidRPr="006057E4">
        <w:rPr>
          <w:rFonts w:ascii="Times New Roman" w:hAnsi="Times New Roman" w:cs="Times New Roman"/>
          <w:highlight w:val="lightGray"/>
        </w:rPr>
        <w:t>and indirect nature of results. A singular</w:t>
      </w:r>
      <w:r w:rsidR="00E72167" w:rsidRPr="006057E4">
        <w:rPr>
          <w:rFonts w:ascii="Times New Roman" w:hAnsi="Times New Roman" w:cs="Times New Roman"/>
          <w:highlight w:val="lightGray"/>
        </w:rPr>
        <w:t xml:space="preserve"> focus on ultimate results of partnerships would fail to account for more direct and measurable (immediate and intermediate) outcomes of partnerships (</w:t>
      </w:r>
      <w:proofErr w:type="spellStart"/>
      <w:r w:rsidR="00E72167" w:rsidRPr="006057E4">
        <w:rPr>
          <w:rFonts w:ascii="Times New Roman" w:hAnsi="Times New Roman" w:cs="Times New Roman"/>
          <w:highlight w:val="lightGray"/>
        </w:rPr>
        <w:t>Liket</w:t>
      </w:r>
      <w:proofErr w:type="spellEnd"/>
      <w:r w:rsidR="00E72167" w:rsidRPr="006057E4">
        <w:rPr>
          <w:rFonts w:ascii="Times New Roman" w:hAnsi="Times New Roman" w:cs="Times New Roman"/>
          <w:highlight w:val="lightGray"/>
        </w:rPr>
        <w:t xml:space="preserve"> and Maas 2012)</w:t>
      </w:r>
      <w:r w:rsidR="00FF0C2F" w:rsidRPr="006057E4">
        <w:rPr>
          <w:rFonts w:ascii="Times New Roman" w:hAnsi="Times New Roman" w:cs="Times New Roman"/>
          <w:highlight w:val="lightGray"/>
        </w:rPr>
        <w:t>.</w:t>
      </w:r>
      <w:r w:rsidR="00FF0C2F">
        <w:rPr>
          <w:rFonts w:ascii="Times New Roman" w:hAnsi="Times New Roman" w:cs="Times New Roman"/>
        </w:rPr>
        <w:t xml:space="preserve"> </w:t>
      </w:r>
      <w:r w:rsidR="00BD5115" w:rsidRPr="006125D7">
        <w:rPr>
          <w:rFonts w:ascii="Times New Roman" w:hAnsi="Times New Roman" w:cs="Times New Roman"/>
        </w:rPr>
        <w:t>Theory-based approaches to evaluation</w:t>
      </w:r>
      <w:r w:rsidR="00334550" w:rsidRPr="006125D7">
        <w:rPr>
          <w:rFonts w:ascii="Times New Roman" w:hAnsi="Times New Roman" w:cs="Times New Roman"/>
        </w:rPr>
        <w:t xml:space="preserve"> </w:t>
      </w:r>
      <w:r w:rsidR="001647F8">
        <w:rPr>
          <w:rFonts w:ascii="Times New Roman" w:hAnsi="Times New Roman" w:cs="Times New Roman"/>
        </w:rPr>
        <w:t xml:space="preserve">(TBEs) </w:t>
      </w:r>
      <w:r w:rsidR="00334550" w:rsidRPr="006125D7">
        <w:rPr>
          <w:rFonts w:ascii="Times New Roman" w:hAnsi="Times New Roman" w:cs="Times New Roman"/>
        </w:rPr>
        <w:t xml:space="preserve">– e.g. </w:t>
      </w:r>
      <w:r w:rsidR="00BD5115" w:rsidRPr="006125D7">
        <w:rPr>
          <w:rFonts w:ascii="Times New Roman" w:hAnsi="Times New Roman" w:cs="Times New Roman"/>
        </w:rPr>
        <w:t>realist</w:t>
      </w:r>
      <w:r w:rsidR="00C4709D" w:rsidRPr="006125D7">
        <w:rPr>
          <w:rFonts w:ascii="Times New Roman" w:hAnsi="Times New Roman" w:cs="Times New Roman"/>
        </w:rPr>
        <w:t>ic</w:t>
      </w:r>
      <w:r w:rsidR="00BD5115" w:rsidRPr="006125D7">
        <w:rPr>
          <w:rFonts w:ascii="Times New Roman" w:hAnsi="Times New Roman" w:cs="Times New Roman"/>
        </w:rPr>
        <w:t xml:space="preserve"> evaluation, process tracing, theories of ch</w:t>
      </w:r>
      <w:r w:rsidR="00334550" w:rsidRPr="006125D7">
        <w:rPr>
          <w:rFonts w:ascii="Times New Roman" w:hAnsi="Times New Roman" w:cs="Times New Roman"/>
        </w:rPr>
        <w:t>ange, and contribution analysis –</w:t>
      </w:r>
      <w:r w:rsidR="00BD5115" w:rsidRPr="006125D7">
        <w:rPr>
          <w:rFonts w:ascii="Times New Roman" w:hAnsi="Times New Roman" w:cs="Times New Roman"/>
        </w:rPr>
        <w:t xml:space="preserve"> </w:t>
      </w:r>
      <w:r w:rsidR="00334550" w:rsidRPr="006125D7">
        <w:rPr>
          <w:rFonts w:ascii="Times New Roman" w:hAnsi="Times New Roman" w:cs="Times New Roman"/>
        </w:rPr>
        <w:t>have developed</w:t>
      </w:r>
      <w:r w:rsidR="00BD5115" w:rsidRPr="006125D7">
        <w:rPr>
          <w:rFonts w:ascii="Times New Roman" w:hAnsi="Times New Roman" w:cs="Times New Roman"/>
        </w:rPr>
        <w:t xml:space="preserve"> sophisticated methods to unravel the </w:t>
      </w:r>
      <w:r w:rsidR="00FF0C2F">
        <w:rPr>
          <w:rFonts w:ascii="Times New Roman" w:hAnsi="Times New Roman" w:cs="Times New Roman"/>
        </w:rPr>
        <w:t xml:space="preserve">causal </w:t>
      </w:r>
      <w:r w:rsidR="00BD5115" w:rsidRPr="006125D7">
        <w:rPr>
          <w:rFonts w:ascii="Times New Roman" w:hAnsi="Times New Roman" w:cs="Times New Roman"/>
        </w:rPr>
        <w:t>dynamics and processes inherent to complex interventions</w:t>
      </w:r>
      <w:r w:rsidR="003E00B4" w:rsidRPr="006125D7">
        <w:rPr>
          <w:rFonts w:ascii="Times New Roman" w:hAnsi="Times New Roman" w:cs="Times New Roman"/>
        </w:rPr>
        <w:t xml:space="preserve"> (</w:t>
      </w:r>
      <w:r w:rsidR="00C4709D" w:rsidRPr="006125D7">
        <w:rPr>
          <w:rFonts w:ascii="Times New Roman" w:hAnsi="Times New Roman" w:cs="Times New Roman"/>
        </w:rPr>
        <w:t xml:space="preserve">Pawson and Tilley 1997, </w:t>
      </w:r>
      <w:r w:rsidR="003E00B4" w:rsidRPr="006125D7">
        <w:rPr>
          <w:rFonts w:ascii="Times New Roman" w:hAnsi="Times New Roman" w:cs="Times New Roman"/>
        </w:rPr>
        <w:t>Weiss 1997)</w:t>
      </w:r>
      <w:r w:rsidR="00BD5115" w:rsidRPr="006125D7">
        <w:rPr>
          <w:rFonts w:ascii="Times New Roman" w:hAnsi="Times New Roman" w:cs="Times New Roman"/>
        </w:rPr>
        <w:t xml:space="preserve">. </w:t>
      </w:r>
      <w:r w:rsidR="00E72167" w:rsidRPr="006057E4">
        <w:rPr>
          <w:rFonts w:ascii="Times New Roman" w:hAnsi="Times New Roman" w:cs="Times New Roman"/>
          <w:highlight w:val="lightGray"/>
        </w:rPr>
        <w:t xml:space="preserve">These approaches focus on the different causal steps </w:t>
      </w:r>
      <w:r w:rsidR="00FF0C2F" w:rsidRPr="006057E4">
        <w:rPr>
          <w:rFonts w:ascii="Times New Roman" w:hAnsi="Times New Roman" w:cs="Times New Roman"/>
          <w:highlight w:val="lightGray"/>
        </w:rPr>
        <w:t>in between intervention and impact, thus explicating the complex pathways through which partnerships realize an impact.</w:t>
      </w:r>
      <w:r w:rsidR="00FF0C2F">
        <w:rPr>
          <w:rFonts w:ascii="Times New Roman" w:hAnsi="Times New Roman" w:cs="Times New Roman"/>
        </w:rPr>
        <w:t xml:space="preserve"> </w:t>
      </w:r>
      <w:r w:rsidR="0003508A">
        <w:rPr>
          <w:rFonts w:ascii="Times New Roman" w:hAnsi="Times New Roman" w:cs="Times New Roman"/>
        </w:rPr>
        <w:t>TBEs could thus potentially</w:t>
      </w:r>
      <w:r w:rsidR="00175A1B">
        <w:rPr>
          <w:rFonts w:ascii="Times New Roman" w:hAnsi="Times New Roman" w:cs="Times New Roman"/>
        </w:rPr>
        <w:t xml:space="preserve"> offer </w:t>
      </w:r>
      <w:r w:rsidR="0003508A">
        <w:rPr>
          <w:rFonts w:ascii="Times New Roman" w:hAnsi="Times New Roman" w:cs="Times New Roman"/>
        </w:rPr>
        <w:t xml:space="preserve">useful </w:t>
      </w:r>
      <w:r w:rsidR="00175A1B">
        <w:rPr>
          <w:rFonts w:ascii="Times New Roman" w:hAnsi="Times New Roman" w:cs="Times New Roman"/>
        </w:rPr>
        <w:t xml:space="preserve">guidance and support in unraveling the workings and impact of </w:t>
      </w:r>
      <w:r w:rsidR="00A354FC">
        <w:rPr>
          <w:rFonts w:ascii="Times New Roman" w:hAnsi="Times New Roman" w:cs="Times New Roman"/>
        </w:rPr>
        <w:t xml:space="preserve">complex </w:t>
      </w:r>
      <w:r w:rsidR="00175A1B">
        <w:rPr>
          <w:rFonts w:ascii="Times New Roman" w:hAnsi="Times New Roman" w:cs="Times New Roman"/>
        </w:rPr>
        <w:t>cross-sector partnerships (van Tulder and K</w:t>
      </w:r>
      <w:r w:rsidR="0003508A">
        <w:rPr>
          <w:rFonts w:ascii="Times New Roman" w:hAnsi="Times New Roman" w:cs="Times New Roman"/>
        </w:rPr>
        <w:t xml:space="preserve">een 2018). </w:t>
      </w:r>
    </w:p>
    <w:p w14:paraId="31AC55AA" w14:textId="136024FD" w:rsidR="00841719" w:rsidRPr="006125D7" w:rsidRDefault="0003508A" w:rsidP="006125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However, thus </w:t>
      </w:r>
      <w:r w:rsidR="009E2810">
        <w:rPr>
          <w:rFonts w:ascii="Times New Roman" w:hAnsi="Times New Roman" w:cs="Times New Roman"/>
        </w:rPr>
        <w:t xml:space="preserve">far TBEs have only to a limited extent found their way into the field of partnership studies (van Tulder et al. 2016). </w:t>
      </w:r>
      <w:r w:rsidR="00956CAE" w:rsidRPr="006057E4">
        <w:rPr>
          <w:rFonts w:ascii="Times New Roman" w:hAnsi="Times New Roman" w:cs="Times New Roman"/>
          <w:highlight w:val="lightGray"/>
        </w:rPr>
        <w:t xml:space="preserve">Valuable examples of a TBE approach to partnerships include the Complexity-Sensitive </w:t>
      </w:r>
      <w:proofErr w:type="spellStart"/>
      <w:r w:rsidR="00956CAE" w:rsidRPr="006057E4">
        <w:rPr>
          <w:rFonts w:ascii="Times New Roman" w:hAnsi="Times New Roman" w:cs="Times New Roman"/>
          <w:highlight w:val="lightGray"/>
        </w:rPr>
        <w:t>ToC</w:t>
      </w:r>
      <w:proofErr w:type="spellEnd"/>
      <w:r w:rsidR="00956CAE" w:rsidRPr="006057E4">
        <w:rPr>
          <w:rFonts w:ascii="Times New Roman" w:hAnsi="Times New Roman" w:cs="Times New Roman"/>
          <w:highlight w:val="lightGray"/>
        </w:rPr>
        <w:t xml:space="preserve"> approach (van Tulder and Keen 2018), </w:t>
      </w:r>
      <w:r w:rsidR="00F222E9" w:rsidRPr="006057E4">
        <w:rPr>
          <w:rFonts w:ascii="Times New Roman" w:hAnsi="Times New Roman" w:cs="Times New Roman"/>
          <w:highlight w:val="lightGray"/>
        </w:rPr>
        <w:t xml:space="preserve">or the use of case studies to refine </w:t>
      </w:r>
      <w:proofErr w:type="spellStart"/>
      <w:r w:rsidR="00F222E9" w:rsidRPr="006057E4">
        <w:rPr>
          <w:rFonts w:ascii="Times New Roman" w:hAnsi="Times New Roman" w:cs="Times New Roman"/>
          <w:highlight w:val="lightGray"/>
        </w:rPr>
        <w:t>programme</w:t>
      </w:r>
      <w:proofErr w:type="spellEnd"/>
      <w:r w:rsidR="00F222E9" w:rsidRPr="006057E4">
        <w:rPr>
          <w:rFonts w:ascii="Times New Roman" w:hAnsi="Times New Roman" w:cs="Times New Roman"/>
          <w:highlight w:val="lightGray"/>
        </w:rPr>
        <w:t xml:space="preserve"> theories (Vellema et al. 2013).</w:t>
      </w:r>
      <w:bookmarkStart w:id="0" w:name="_GoBack"/>
      <w:bookmarkEnd w:id="0"/>
      <w:r w:rsidR="00F222E9">
        <w:rPr>
          <w:rFonts w:ascii="Times New Roman" w:hAnsi="Times New Roman" w:cs="Times New Roman"/>
        </w:rPr>
        <w:t xml:space="preserve">  </w:t>
      </w:r>
      <w:r w:rsidR="009D4432">
        <w:rPr>
          <w:rFonts w:ascii="Times New Roman" w:hAnsi="Times New Roman" w:cs="Times New Roman"/>
        </w:rPr>
        <w:t>C</w:t>
      </w:r>
      <w:r w:rsidR="00047FF8" w:rsidRPr="006125D7">
        <w:rPr>
          <w:rFonts w:ascii="Times New Roman" w:hAnsi="Times New Roman" w:cs="Times New Roman"/>
        </w:rPr>
        <w:t>onsequently</w:t>
      </w:r>
      <w:r w:rsidR="009D4432">
        <w:rPr>
          <w:rFonts w:ascii="Times New Roman" w:hAnsi="Times New Roman" w:cs="Times New Roman"/>
        </w:rPr>
        <w:t>, there are</w:t>
      </w:r>
      <w:r w:rsidR="00047FF8" w:rsidRPr="006125D7">
        <w:rPr>
          <w:rFonts w:ascii="Times New Roman" w:hAnsi="Times New Roman" w:cs="Times New Roman"/>
        </w:rPr>
        <w:t xml:space="preserve"> many unresolved </w:t>
      </w:r>
      <w:r w:rsidR="006E3FC1" w:rsidRPr="006125D7">
        <w:rPr>
          <w:rFonts w:ascii="Times New Roman" w:hAnsi="Times New Roman" w:cs="Times New Roman"/>
        </w:rPr>
        <w:t xml:space="preserve">questions regarding </w:t>
      </w:r>
      <w:r w:rsidR="004229A9" w:rsidRPr="006125D7">
        <w:rPr>
          <w:rFonts w:ascii="Times New Roman" w:hAnsi="Times New Roman" w:cs="Times New Roman"/>
        </w:rPr>
        <w:t>how to apply</w:t>
      </w:r>
      <w:r w:rsidR="00F67E71" w:rsidRPr="006125D7">
        <w:rPr>
          <w:rFonts w:ascii="Times New Roman" w:hAnsi="Times New Roman" w:cs="Times New Roman"/>
        </w:rPr>
        <w:t xml:space="preserve"> TBEs to unpack complex partnership dynamics. </w:t>
      </w:r>
      <w:r w:rsidR="0076409E" w:rsidRPr="006125D7">
        <w:rPr>
          <w:rFonts w:ascii="Times New Roman" w:hAnsi="Times New Roman" w:cs="Times New Roman"/>
        </w:rPr>
        <w:t xml:space="preserve">The </w:t>
      </w:r>
      <w:r w:rsidR="004B7C03" w:rsidRPr="006125D7">
        <w:rPr>
          <w:rFonts w:ascii="Times New Roman" w:hAnsi="Times New Roman" w:cs="Times New Roman"/>
        </w:rPr>
        <w:t>central question to this panel therefore is</w:t>
      </w:r>
      <w:r w:rsidR="0076409E" w:rsidRPr="006125D7">
        <w:rPr>
          <w:rFonts w:ascii="Times New Roman" w:hAnsi="Times New Roman" w:cs="Times New Roman"/>
        </w:rPr>
        <w:t>:</w:t>
      </w:r>
      <w:r w:rsidR="004B7C03" w:rsidRPr="006125D7">
        <w:rPr>
          <w:rFonts w:ascii="Times New Roman" w:hAnsi="Times New Roman" w:cs="Times New Roman"/>
        </w:rPr>
        <w:t xml:space="preserve"> what is the value of theory-based evaluations for analyzing CSP-dynamics?</w:t>
      </w:r>
      <w:r w:rsidR="0076409E" w:rsidRPr="006125D7">
        <w:rPr>
          <w:rFonts w:ascii="Times New Roman" w:hAnsi="Times New Roman" w:cs="Times New Roman"/>
        </w:rPr>
        <w:t xml:space="preserve"> </w:t>
      </w:r>
      <w:r w:rsidR="00841719" w:rsidRPr="006125D7">
        <w:rPr>
          <w:rFonts w:ascii="Times New Roman" w:hAnsi="Times New Roman" w:cs="Times New Roman"/>
        </w:rPr>
        <w:t xml:space="preserve">We are inviting contributions that either theoretically or empirically contribute to addressing this question, with a particular interest in the ability of TBEs of capturing the complexity of CSPs </w:t>
      </w:r>
      <w:r w:rsidR="007415CD" w:rsidRPr="006125D7">
        <w:rPr>
          <w:rFonts w:ascii="Times New Roman" w:hAnsi="Times New Roman" w:cs="Times New Roman"/>
        </w:rPr>
        <w:t>without oversimplifying matters;</w:t>
      </w:r>
      <w:r w:rsidR="00841719" w:rsidRPr="006125D7">
        <w:rPr>
          <w:rFonts w:ascii="Times New Roman" w:hAnsi="Times New Roman" w:cs="Times New Roman"/>
        </w:rPr>
        <w:t xml:space="preserve"> analysis of participatory learning exercis</w:t>
      </w:r>
      <w:r w:rsidR="007415CD" w:rsidRPr="006125D7">
        <w:rPr>
          <w:rFonts w:ascii="Times New Roman" w:hAnsi="Times New Roman" w:cs="Times New Roman"/>
        </w:rPr>
        <w:t>es in on-going CSP partnerships;</w:t>
      </w:r>
      <w:r w:rsidR="00841719" w:rsidRPr="006125D7">
        <w:rPr>
          <w:rFonts w:ascii="Times New Roman" w:hAnsi="Times New Roman" w:cs="Times New Roman"/>
        </w:rPr>
        <w:t xml:space="preserve"> the integration of complementary causal processes from different actor perspectives into comprehensive models</w:t>
      </w:r>
      <w:r w:rsidR="007415CD" w:rsidRPr="006125D7">
        <w:rPr>
          <w:rFonts w:ascii="Times New Roman" w:hAnsi="Times New Roman" w:cs="Times New Roman"/>
        </w:rPr>
        <w:t>;</w:t>
      </w:r>
      <w:r w:rsidR="00841719" w:rsidRPr="006125D7">
        <w:rPr>
          <w:rFonts w:ascii="Times New Roman" w:hAnsi="Times New Roman" w:cs="Times New Roman"/>
        </w:rPr>
        <w:t xml:space="preserve"> and real-time evaluations based on action research</w:t>
      </w:r>
      <w:r w:rsidR="00700D81" w:rsidRPr="006125D7">
        <w:rPr>
          <w:rFonts w:ascii="Times New Roman" w:hAnsi="Times New Roman" w:cs="Times New Roman"/>
        </w:rPr>
        <w:t xml:space="preserve">. </w:t>
      </w:r>
    </w:p>
    <w:p w14:paraId="4D636F69" w14:textId="77777777" w:rsidR="00520F55" w:rsidRPr="006125D7" w:rsidRDefault="00FE41E5" w:rsidP="006125D7">
      <w:pPr>
        <w:pStyle w:val="Heading1"/>
        <w:rPr>
          <w:rFonts w:ascii="Times New Roman" w:hAnsi="Times New Roman" w:cs="Times New Roman"/>
          <w:b/>
          <w:sz w:val="22"/>
          <w:szCs w:val="22"/>
        </w:rPr>
      </w:pPr>
      <w:r w:rsidRPr="006125D7">
        <w:rPr>
          <w:rFonts w:ascii="Times New Roman" w:hAnsi="Times New Roman" w:cs="Times New Roman"/>
          <w:b/>
          <w:color w:val="auto"/>
          <w:sz w:val="22"/>
          <w:szCs w:val="22"/>
        </w:rPr>
        <w:t>References</w:t>
      </w:r>
      <w:r w:rsidR="004B0F64" w:rsidRPr="006125D7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14:paraId="7AB5EC47" w14:textId="77777777" w:rsidR="00FE41E5" w:rsidRPr="006125D7" w:rsidRDefault="00FE41E5" w:rsidP="004B0F64">
      <w:pPr>
        <w:ind w:left="426" w:hanging="426"/>
        <w:contextualSpacing/>
        <w:rPr>
          <w:rFonts w:ascii="Times New Roman" w:hAnsi="Times New Roman" w:cs="Times New Roman"/>
          <w:sz w:val="18"/>
          <w:szCs w:val="24"/>
        </w:rPr>
      </w:pPr>
      <w:r w:rsidRPr="006125D7">
        <w:rPr>
          <w:rFonts w:ascii="Times New Roman" w:hAnsi="Times New Roman" w:cs="Times New Roman"/>
          <w:sz w:val="18"/>
          <w:szCs w:val="24"/>
        </w:rPr>
        <w:t xml:space="preserve">Austin, J. E., &amp; </w:t>
      </w:r>
      <w:proofErr w:type="spellStart"/>
      <w:r w:rsidRPr="006125D7">
        <w:rPr>
          <w:rFonts w:ascii="Times New Roman" w:hAnsi="Times New Roman" w:cs="Times New Roman"/>
          <w:sz w:val="18"/>
          <w:szCs w:val="24"/>
        </w:rPr>
        <w:t>Seitanidi</w:t>
      </w:r>
      <w:proofErr w:type="spellEnd"/>
      <w:r w:rsidRPr="006125D7">
        <w:rPr>
          <w:rFonts w:ascii="Times New Roman" w:hAnsi="Times New Roman" w:cs="Times New Roman"/>
          <w:sz w:val="18"/>
          <w:szCs w:val="24"/>
        </w:rPr>
        <w:t xml:space="preserve">, M. M. (2012). Collaborative value creation: A review of partnering between </w:t>
      </w:r>
      <w:proofErr w:type="spellStart"/>
      <w:r w:rsidRPr="006125D7">
        <w:rPr>
          <w:rFonts w:ascii="Times New Roman" w:hAnsi="Times New Roman" w:cs="Times New Roman"/>
          <w:sz w:val="18"/>
          <w:szCs w:val="24"/>
        </w:rPr>
        <w:t>nonprofts</w:t>
      </w:r>
      <w:proofErr w:type="spellEnd"/>
      <w:r w:rsidRPr="006125D7">
        <w:rPr>
          <w:rFonts w:ascii="Times New Roman" w:hAnsi="Times New Roman" w:cs="Times New Roman"/>
          <w:sz w:val="18"/>
          <w:szCs w:val="24"/>
        </w:rPr>
        <w:t xml:space="preserve"> and businesses: Part I. Value creation spectrum and collaboration stages. </w:t>
      </w:r>
      <w:proofErr w:type="spellStart"/>
      <w:r w:rsidRPr="006125D7">
        <w:rPr>
          <w:rFonts w:ascii="Times New Roman" w:hAnsi="Times New Roman" w:cs="Times New Roman"/>
          <w:i/>
          <w:sz w:val="18"/>
          <w:szCs w:val="24"/>
        </w:rPr>
        <w:t>Nonproft</w:t>
      </w:r>
      <w:proofErr w:type="spellEnd"/>
      <w:r w:rsidRPr="006125D7">
        <w:rPr>
          <w:rFonts w:ascii="Times New Roman" w:hAnsi="Times New Roman" w:cs="Times New Roman"/>
          <w:i/>
          <w:sz w:val="18"/>
          <w:szCs w:val="24"/>
        </w:rPr>
        <w:t xml:space="preserve"> and Voluntary Sector Quarterly</w:t>
      </w:r>
      <w:r w:rsidRPr="006125D7">
        <w:rPr>
          <w:rFonts w:ascii="Times New Roman" w:hAnsi="Times New Roman" w:cs="Times New Roman"/>
          <w:sz w:val="18"/>
          <w:szCs w:val="24"/>
        </w:rPr>
        <w:t>, 41(5), 726–758</w:t>
      </w:r>
      <w:r w:rsidR="00932FB7" w:rsidRPr="006125D7">
        <w:rPr>
          <w:rFonts w:ascii="Times New Roman" w:hAnsi="Times New Roman" w:cs="Times New Roman"/>
          <w:sz w:val="18"/>
          <w:szCs w:val="24"/>
        </w:rPr>
        <w:t>.</w:t>
      </w:r>
    </w:p>
    <w:p w14:paraId="30365788" w14:textId="77777777" w:rsidR="004F44D4" w:rsidRPr="006125D7" w:rsidRDefault="004F44D4" w:rsidP="004B0F64">
      <w:pPr>
        <w:ind w:left="426" w:hanging="426"/>
        <w:contextualSpacing/>
        <w:rPr>
          <w:rFonts w:ascii="Times New Roman" w:hAnsi="Times New Roman" w:cs="Times New Roman"/>
          <w:sz w:val="18"/>
          <w:szCs w:val="24"/>
        </w:rPr>
      </w:pPr>
      <w:proofErr w:type="spellStart"/>
      <w:r w:rsidRPr="006125D7">
        <w:rPr>
          <w:rFonts w:ascii="Times New Roman" w:hAnsi="Times New Roman" w:cs="Times New Roman"/>
          <w:sz w:val="18"/>
          <w:szCs w:val="24"/>
        </w:rPr>
        <w:t>Dentoni</w:t>
      </w:r>
      <w:proofErr w:type="spellEnd"/>
      <w:r w:rsidRPr="006125D7">
        <w:rPr>
          <w:rFonts w:ascii="Times New Roman" w:hAnsi="Times New Roman" w:cs="Times New Roman"/>
          <w:sz w:val="18"/>
          <w:szCs w:val="24"/>
        </w:rPr>
        <w:t xml:space="preserve">, D., </w:t>
      </w:r>
      <w:proofErr w:type="spellStart"/>
      <w:r w:rsidRPr="006125D7">
        <w:rPr>
          <w:rFonts w:ascii="Times New Roman" w:hAnsi="Times New Roman" w:cs="Times New Roman"/>
          <w:sz w:val="18"/>
          <w:szCs w:val="24"/>
        </w:rPr>
        <w:t>Bitzer</w:t>
      </w:r>
      <w:proofErr w:type="spellEnd"/>
      <w:r w:rsidRPr="006125D7">
        <w:rPr>
          <w:rFonts w:ascii="Times New Roman" w:hAnsi="Times New Roman" w:cs="Times New Roman"/>
          <w:sz w:val="18"/>
          <w:szCs w:val="24"/>
        </w:rPr>
        <w:t xml:space="preserve">, V. &amp; Schouten, G. (2018). Harnessing wicked problems in multi-stakeholder partnerships. </w:t>
      </w:r>
      <w:r w:rsidRPr="006125D7">
        <w:rPr>
          <w:rFonts w:ascii="Times New Roman" w:hAnsi="Times New Roman" w:cs="Times New Roman"/>
          <w:i/>
          <w:sz w:val="18"/>
          <w:szCs w:val="24"/>
        </w:rPr>
        <w:t xml:space="preserve">Journal of Business Ethics </w:t>
      </w:r>
      <w:r w:rsidRPr="006125D7">
        <w:rPr>
          <w:rFonts w:ascii="Times New Roman" w:hAnsi="Times New Roman" w:cs="Times New Roman"/>
          <w:sz w:val="18"/>
          <w:szCs w:val="24"/>
        </w:rPr>
        <w:t xml:space="preserve">150(2): 333-356. </w:t>
      </w:r>
    </w:p>
    <w:p w14:paraId="2FC8BA13" w14:textId="77777777" w:rsidR="001E43B4" w:rsidRPr="006125D7" w:rsidRDefault="001E43B4" w:rsidP="004B0F64">
      <w:pPr>
        <w:ind w:left="426" w:hanging="426"/>
        <w:contextualSpacing/>
        <w:rPr>
          <w:rFonts w:ascii="Times New Roman" w:hAnsi="Times New Roman" w:cs="Times New Roman"/>
          <w:sz w:val="18"/>
          <w:szCs w:val="24"/>
        </w:rPr>
      </w:pPr>
      <w:r w:rsidRPr="006125D7">
        <w:rPr>
          <w:rFonts w:ascii="Times New Roman" w:hAnsi="Times New Roman" w:cs="Times New Roman"/>
          <w:sz w:val="18"/>
          <w:szCs w:val="24"/>
        </w:rPr>
        <w:t xml:space="preserve">Handley, M., Bunn, F., Lynch, J. &amp; Goodman, C. (2019). Using non-participant observation to uncover mechanisms: insights from a realist evaluation. </w:t>
      </w:r>
      <w:r w:rsidRPr="006125D7">
        <w:rPr>
          <w:rFonts w:ascii="Times New Roman" w:hAnsi="Times New Roman" w:cs="Times New Roman"/>
          <w:i/>
          <w:sz w:val="18"/>
          <w:szCs w:val="24"/>
        </w:rPr>
        <w:t>Evaluation</w:t>
      </w:r>
      <w:r w:rsidRPr="006125D7">
        <w:rPr>
          <w:rFonts w:ascii="Times New Roman" w:hAnsi="Times New Roman" w:cs="Times New Roman"/>
          <w:sz w:val="18"/>
          <w:szCs w:val="24"/>
        </w:rPr>
        <w:t xml:space="preserve">. DOI: </w:t>
      </w:r>
      <w:hyperlink r:id="rId9" w:history="1">
        <w:r w:rsidRPr="006125D7">
          <w:rPr>
            <w:rStyle w:val="Hyperlink"/>
            <w:rFonts w:ascii="Times New Roman" w:hAnsi="Times New Roman" w:cs="Times New Roman"/>
            <w:sz w:val="18"/>
            <w:szCs w:val="24"/>
          </w:rPr>
          <w:t>https://doi.org/10.1177/1356389019869036</w:t>
        </w:r>
      </w:hyperlink>
      <w:r w:rsidR="00365B17" w:rsidRPr="006125D7">
        <w:rPr>
          <w:rFonts w:ascii="Times New Roman" w:hAnsi="Times New Roman" w:cs="Times New Roman"/>
          <w:sz w:val="18"/>
          <w:szCs w:val="24"/>
        </w:rPr>
        <w:t>.</w:t>
      </w:r>
    </w:p>
    <w:p w14:paraId="4297312F" w14:textId="77777777" w:rsidR="00C4709D" w:rsidRPr="006125D7" w:rsidRDefault="00C4709D" w:rsidP="004B0F64">
      <w:pPr>
        <w:ind w:left="426" w:hanging="426"/>
        <w:contextualSpacing/>
        <w:rPr>
          <w:rFonts w:ascii="Times New Roman" w:hAnsi="Times New Roman" w:cs="Times New Roman"/>
          <w:sz w:val="18"/>
          <w:szCs w:val="24"/>
        </w:rPr>
      </w:pPr>
      <w:r w:rsidRPr="006125D7">
        <w:rPr>
          <w:rFonts w:ascii="Times New Roman" w:hAnsi="Times New Roman" w:cs="Times New Roman"/>
          <w:sz w:val="18"/>
          <w:szCs w:val="24"/>
        </w:rPr>
        <w:t xml:space="preserve">Pawson, R. and Tilley, N. (1997) </w:t>
      </w:r>
      <w:r w:rsidRPr="006125D7">
        <w:rPr>
          <w:rFonts w:ascii="Times New Roman" w:hAnsi="Times New Roman" w:cs="Times New Roman"/>
          <w:i/>
          <w:sz w:val="18"/>
          <w:szCs w:val="24"/>
        </w:rPr>
        <w:t>Realistic evaluation</w:t>
      </w:r>
      <w:r w:rsidRPr="006125D7">
        <w:rPr>
          <w:rFonts w:ascii="Times New Roman" w:hAnsi="Times New Roman" w:cs="Times New Roman"/>
          <w:sz w:val="18"/>
          <w:szCs w:val="24"/>
        </w:rPr>
        <w:t xml:space="preserve">. Sage: London. </w:t>
      </w:r>
    </w:p>
    <w:p w14:paraId="3D46C073" w14:textId="77777777" w:rsidR="00365B17" w:rsidRPr="006125D7" w:rsidRDefault="00365B17" w:rsidP="004B0F64">
      <w:pPr>
        <w:ind w:left="426" w:hanging="426"/>
        <w:contextualSpacing/>
        <w:rPr>
          <w:rFonts w:ascii="Times New Roman" w:hAnsi="Times New Roman" w:cs="Times New Roman"/>
          <w:sz w:val="18"/>
          <w:szCs w:val="24"/>
        </w:rPr>
      </w:pPr>
      <w:proofErr w:type="spellStart"/>
      <w:r w:rsidRPr="006125D7">
        <w:rPr>
          <w:rFonts w:ascii="Times New Roman" w:hAnsi="Times New Roman" w:cs="Times New Roman"/>
          <w:sz w:val="18"/>
          <w:szCs w:val="24"/>
        </w:rPr>
        <w:t>Stame</w:t>
      </w:r>
      <w:proofErr w:type="spellEnd"/>
      <w:r w:rsidRPr="006125D7">
        <w:rPr>
          <w:rFonts w:ascii="Times New Roman" w:hAnsi="Times New Roman" w:cs="Times New Roman"/>
          <w:sz w:val="18"/>
          <w:szCs w:val="24"/>
        </w:rPr>
        <w:t>, N. (2004)</w:t>
      </w:r>
      <w:r w:rsidR="00C4709D" w:rsidRPr="006125D7">
        <w:rPr>
          <w:rFonts w:ascii="Times New Roman" w:hAnsi="Times New Roman" w:cs="Times New Roman"/>
          <w:sz w:val="18"/>
          <w:szCs w:val="24"/>
        </w:rPr>
        <w:t>.</w:t>
      </w:r>
      <w:r w:rsidRPr="006125D7">
        <w:rPr>
          <w:rFonts w:ascii="Times New Roman" w:hAnsi="Times New Roman" w:cs="Times New Roman"/>
          <w:sz w:val="18"/>
          <w:szCs w:val="24"/>
        </w:rPr>
        <w:t xml:space="preserve"> Theory-based evaluation and types of complexity. </w:t>
      </w:r>
      <w:r w:rsidRPr="006125D7">
        <w:rPr>
          <w:rFonts w:ascii="Times New Roman" w:hAnsi="Times New Roman" w:cs="Times New Roman"/>
          <w:i/>
          <w:sz w:val="18"/>
          <w:szCs w:val="24"/>
        </w:rPr>
        <w:t>Evaluation</w:t>
      </w:r>
      <w:r w:rsidRPr="006125D7">
        <w:rPr>
          <w:rFonts w:ascii="Times New Roman" w:hAnsi="Times New Roman" w:cs="Times New Roman"/>
          <w:sz w:val="18"/>
          <w:szCs w:val="24"/>
        </w:rPr>
        <w:t xml:space="preserve"> 10(1): 58-76. </w:t>
      </w:r>
    </w:p>
    <w:p w14:paraId="5E51D697" w14:textId="77777777" w:rsidR="00932FB7" w:rsidRPr="006125D7" w:rsidRDefault="00932FB7" w:rsidP="004B0F64">
      <w:pPr>
        <w:ind w:left="426" w:hanging="426"/>
        <w:contextualSpacing/>
        <w:rPr>
          <w:rFonts w:ascii="Times New Roman" w:hAnsi="Times New Roman" w:cs="Times New Roman"/>
          <w:sz w:val="18"/>
          <w:szCs w:val="24"/>
        </w:rPr>
      </w:pPr>
      <w:r w:rsidRPr="006125D7">
        <w:rPr>
          <w:rFonts w:ascii="Times New Roman" w:hAnsi="Times New Roman" w:cs="Times New Roman"/>
          <w:sz w:val="18"/>
          <w:szCs w:val="24"/>
        </w:rPr>
        <w:t xml:space="preserve">Van Tulder, R. &amp; Keen, N. (2018). Capturing collaborative challenges: designing complexity-sensitive theories of change for cross-sector partnerships. </w:t>
      </w:r>
      <w:r w:rsidRPr="006125D7">
        <w:rPr>
          <w:rFonts w:ascii="Times New Roman" w:hAnsi="Times New Roman" w:cs="Times New Roman"/>
          <w:i/>
          <w:sz w:val="18"/>
          <w:szCs w:val="24"/>
        </w:rPr>
        <w:t xml:space="preserve">Journal of Business Ethics </w:t>
      </w:r>
      <w:r w:rsidRPr="006125D7">
        <w:rPr>
          <w:rFonts w:ascii="Times New Roman" w:hAnsi="Times New Roman" w:cs="Times New Roman"/>
          <w:sz w:val="18"/>
          <w:szCs w:val="24"/>
        </w:rPr>
        <w:t xml:space="preserve">150: 315-332. </w:t>
      </w:r>
    </w:p>
    <w:p w14:paraId="04A23E65" w14:textId="77777777" w:rsidR="00C36FD5" w:rsidRPr="006125D7" w:rsidRDefault="00C36FD5" w:rsidP="004B0F64">
      <w:pPr>
        <w:ind w:left="426" w:hanging="426"/>
        <w:contextualSpacing/>
        <w:rPr>
          <w:rFonts w:ascii="Times New Roman" w:hAnsi="Times New Roman" w:cs="Times New Roman"/>
          <w:sz w:val="18"/>
          <w:szCs w:val="24"/>
          <w:lang w:val="nl-NL"/>
        </w:rPr>
      </w:pPr>
      <w:r w:rsidRPr="006125D7">
        <w:rPr>
          <w:rFonts w:ascii="Times New Roman" w:hAnsi="Times New Roman" w:cs="Times New Roman"/>
          <w:sz w:val="18"/>
          <w:szCs w:val="24"/>
        </w:rPr>
        <w:t xml:space="preserve">Vellema, S., </w:t>
      </w:r>
      <w:proofErr w:type="spellStart"/>
      <w:r w:rsidRPr="006125D7">
        <w:rPr>
          <w:rFonts w:ascii="Times New Roman" w:hAnsi="Times New Roman" w:cs="Times New Roman"/>
          <w:sz w:val="18"/>
          <w:szCs w:val="24"/>
        </w:rPr>
        <w:t>Maru</w:t>
      </w:r>
      <w:proofErr w:type="spellEnd"/>
      <w:r w:rsidRPr="006125D7">
        <w:rPr>
          <w:rFonts w:ascii="Times New Roman" w:hAnsi="Times New Roman" w:cs="Times New Roman"/>
          <w:sz w:val="18"/>
          <w:szCs w:val="24"/>
        </w:rPr>
        <w:t xml:space="preserve">, Y.T., </w:t>
      </w:r>
      <w:proofErr w:type="spellStart"/>
      <w:r w:rsidRPr="006125D7">
        <w:rPr>
          <w:rFonts w:ascii="Times New Roman" w:hAnsi="Times New Roman" w:cs="Times New Roman"/>
          <w:sz w:val="18"/>
          <w:szCs w:val="24"/>
        </w:rPr>
        <w:t>Ekong</w:t>
      </w:r>
      <w:proofErr w:type="spellEnd"/>
      <w:r w:rsidRPr="006125D7">
        <w:rPr>
          <w:rFonts w:ascii="Times New Roman" w:hAnsi="Times New Roman" w:cs="Times New Roman"/>
          <w:sz w:val="18"/>
          <w:szCs w:val="24"/>
        </w:rPr>
        <w:t xml:space="preserve">, J., McNamara, P., Waters-Bayer, A. &amp; </w:t>
      </w:r>
      <w:proofErr w:type="spellStart"/>
      <w:r w:rsidRPr="006125D7">
        <w:rPr>
          <w:rFonts w:ascii="Times New Roman" w:hAnsi="Times New Roman" w:cs="Times New Roman"/>
          <w:sz w:val="18"/>
          <w:szCs w:val="24"/>
        </w:rPr>
        <w:t>Brouwers</w:t>
      </w:r>
      <w:proofErr w:type="spellEnd"/>
      <w:r w:rsidRPr="006125D7">
        <w:rPr>
          <w:rFonts w:ascii="Times New Roman" w:hAnsi="Times New Roman" w:cs="Times New Roman"/>
          <w:sz w:val="18"/>
          <w:szCs w:val="24"/>
        </w:rPr>
        <w:t xml:space="preserve">, J. (2017). Do theories of change enable innovation platforms and partnerships to navigate towards impact? </w:t>
      </w:r>
      <w:r w:rsidRPr="006125D7">
        <w:rPr>
          <w:rFonts w:ascii="Times New Roman" w:hAnsi="Times New Roman" w:cs="Times New Roman"/>
          <w:i/>
          <w:sz w:val="18"/>
          <w:szCs w:val="24"/>
          <w:lang w:val="nl-NL"/>
        </w:rPr>
        <w:t xml:space="preserve">KIT </w:t>
      </w:r>
      <w:proofErr w:type="spellStart"/>
      <w:r w:rsidRPr="006125D7">
        <w:rPr>
          <w:rFonts w:ascii="Times New Roman" w:hAnsi="Times New Roman" w:cs="Times New Roman"/>
          <w:i/>
          <w:sz w:val="18"/>
          <w:szCs w:val="24"/>
          <w:lang w:val="nl-NL"/>
        </w:rPr>
        <w:t>Working</w:t>
      </w:r>
      <w:proofErr w:type="spellEnd"/>
      <w:r w:rsidRPr="006125D7">
        <w:rPr>
          <w:rFonts w:ascii="Times New Roman" w:hAnsi="Times New Roman" w:cs="Times New Roman"/>
          <w:i/>
          <w:sz w:val="18"/>
          <w:szCs w:val="24"/>
          <w:lang w:val="nl-NL"/>
        </w:rPr>
        <w:t xml:space="preserve"> Papers </w:t>
      </w:r>
      <w:r w:rsidRPr="006125D7">
        <w:rPr>
          <w:rFonts w:ascii="Times New Roman" w:hAnsi="Times New Roman" w:cs="Times New Roman"/>
          <w:sz w:val="18"/>
          <w:szCs w:val="24"/>
          <w:lang w:val="nl-NL"/>
        </w:rPr>
        <w:t xml:space="preserve">13. </w:t>
      </w:r>
    </w:p>
    <w:p w14:paraId="5F404C81" w14:textId="77777777" w:rsidR="001B4CE2" w:rsidRPr="006125D7" w:rsidRDefault="001B4CE2" w:rsidP="004B0F64">
      <w:pPr>
        <w:ind w:left="426" w:hanging="426"/>
        <w:contextualSpacing/>
        <w:rPr>
          <w:rFonts w:ascii="Times New Roman" w:hAnsi="Times New Roman" w:cs="Times New Roman"/>
          <w:sz w:val="18"/>
          <w:szCs w:val="24"/>
        </w:rPr>
      </w:pPr>
      <w:r w:rsidRPr="006125D7">
        <w:rPr>
          <w:rFonts w:ascii="Times New Roman" w:hAnsi="Times New Roman" w:cs="Times New Roman"/>
          <w:sz w:val="18"/>
          <w:szCs w:val="24"/>
          <w:lang w:val="nl-NL"/>
        </w:rPr>
        <w:lastRenderedPageBreak/>
        <w:t xml:space="preserve">Vellema, S., Ton, G., de Roo, N. &amp; van Wijk, J. (2013). </w:t>
      </w:r>
      <w:r w:rsidRPr="006125D7">
        <w:rPr>
          <w:rFonts w:ascii="Times New Roman" w:hAnsi="Times New Roman" w:cs="Times New Roman"/>
          <w:sz w:val="18"/>
          <w:szCs w:val="24"/>
        </w:rPr>
        <w:t xml:space="preserve">Value chains, partnerships and development: using case studies to refine </w:t>
      </w:r>
      <w:proofErr w:type="spellStart"/>
      <w:r w:rsidRPr="006125D7">
        <w:rPr>
          <w:rFonts w:ascii="Times New Roman" w:hAnsi="Times New Roman" w:cs="Times New Roman"/>
          <w:sz w:val="18"/>
          <w:szCs w:val="24"/>
        </w:rPr>
        <w:t>programme</w:t>
      </w:r>
      <w:proofErr w:type="spellEnd"/>
      <w:r w:rsidRPr="006125D7">
        <w:rPr>
          <w:rFonts w:ascii="Times New Roman" w:hAnsi="Times New Roman" w:cs="Times New Roman"/>
          <w:sz w:val="18"/>
          <w:szCs w:val="24"/>
        </w:rPr>
        <w:t xml:space="preserve"> theories. </w:t>
      </w:r>
      <w:r w:rsidRPr="006125D7">
        <w:rPr>
          <w:rFonts w:ascii="Times New Roman" w:hAnsi="Times New Roman" w:cs="Times New Roman"/>
          <w:i/>
          <w:sz w:val="18"/>
          <w:szCs w:val="24"/>
        </w:rPr>
        <w:t xml:space="preserve">Evaluation </w:t>
      </w:r>
      <w:r w:rsidRPr="006125D7">
        <w:rPr>
          <w:rFonts w:ascii="Times New Roman" w:hAnsi="Times New Roman" w:cs="Times New Roman"/>
          <w:sz w:val="18"/>
          <w:szCs w:val="24"/>
        </w:rPr>
        <w:t xml:space="preserve">19(3): 304-320. </w:t>
      </w:r>
    </w:p>
    <w:p w14:paraId="40C3EA53" w14:textId="77777777" w:rsidR="0094700A" w:rsidRPr="006125D7" w:rsidRDefault="0094700A" w:rsidP="004B0F64">
      <w:pPr>
        <w:ind w:left="426" w:hanging="426"/>
        <w:contextualSpacing/>
        <w:rPr>
          <w:rFonts w:ascii="Times New Roman" w:hAnsi="Times New Roman" w:cs="Times New Roman"/>
          <w:sz w:val="18"/>
          <w:szCs w:val="24"/>
        </w:rPr>
      </w:pPr>
      <w:r w:rsidRPr="006125D7">
        <w:rPr>
          <w:rFonts w:ascii="Times New Roman" w:hAnsi="Times New Roman" w:cs="Times New Roman"/>
          <w:sz w:val="18"/>
          <w:szCs w:val="24"/>
        </w:rPr>
        <w:t xml:space="preserve">Weiss, C.H. (1997). Theory-based evaluation: past, present, and future. </w:t>
      </w:r>
      <w:r w:rsidRPr="006125D7">
        <w:rPr>
          <w:rFonts w:ascii="Times New Roman" w:hAnsi="Times New Roman" w:cs="Times New Roman"/>
          <w:i/>
          <w:sz w:val="18"/>
          <w:szCs w:val="24"/>
        </w:rPr>
        <w:t>New Directions for Evaluation</w:t>
      </w:r>
      <w:r w:rsidRPr="006125D7">
        <w:rPr>
          <w:rFonts w:ascii="Times New Roman" w:hAnsi="Times New Roman" w:cs="Times New Roman"/>
          <w:sz w:val="18"/>
          <w:szCs w:val="24"/>
        </w:rPr>
        <w:t xml:space="preserve"> 76: 41-55. </w:t>
      </w:r>
    </w:p>
    <w:p w14:paraId="3701367D" w14:textId="77777777" w:rsidR="0047523F" w:rsidRPr="006125D7" w:rsidRDefault="0047523F" w:rsidP="004B0F64">
      <w:pPr>
        <w:ind w:left="426" w:hanging="426"/>
        <w:contextualSpacing/>
        <w:rPr>
          <w:rFonts w:ascii="Times New Roman" w:hAnsi="Times New Roman" w:cs="Times New Roman"/>
          <w:sz w:val="18"/>
          <w:szCs w:val="24"/>
        </w:rPr>
      </w:pPr>
      <w:r w:rsidRPr="006125D7">
        <w:rPr>
          <w:rFonts w:ascii="Times New Roman" w:hAnsi="Times New Roman" w:cs="Times New Roman"/>
          <w:sz w:val="18"/>
          <w:szCs w:val="24"/>
        </w:rPr>
        <w:t xml:space="preserve">White, H. (2009). Theory-based impact evaluation: principles and practice. </w:t>
      </w:r>
      <w:r w:rsidRPr="006125D7">
        <w:rPr>
          <w:rFonts w:ascii="Times New Roman" w:hAnsi="Times New Roman" w:cs="Times New Roman"/>
          <w:i/>
          <w:sz w:val="18"/>
          <w:szCs w:val="24"/>
        </w:rPr>
        <w:t>International Initiative for Impact Evaluation</w:t>
      </w:r>
      <w:r w:rsidRPr="006125D7">
        <w:rPr>
          <w:rFonts w:ascii="Times New Roman" w:hAnsi="Times New Roman" w:cs="Times New Roman"/>
          <w:sz w:val="18"/>
          <w:szCs w:val="24"/>
        </w:rPr>
        <w:t xml:space="preserve">, working paper 3. June 2009, New Delhi: 3ie. </w:t>
      </w:r>
    </w:p>
    <w:sectPr w:rsidR="0047523F" w:rsidRPr="006125D7" w:rsidSect="006125D7">
      <w:pgSz w:w="12240" w:h="15840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85F"/>
    <w:multiLevelType w:val="hybridMultilevel"/>
    <w:tmpl w:val="6DB6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65A62"/>
    <w:multiLevelType w:val="hybridMultilevel"/>
    <w:tmpl w:val="8000FCAE"/>
    <w:lvl w:ilvl="0" w:tplc="260028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CB"/>
    <w:rsid w:val="00006FDC"/>
    <w:rsid w:val="00021CBD"/>
    <w:rsid w:val="0003508A"/>
    <w:rsid w:val="00043AF2"/>
    <w:rsid w:val="00047FF8"/>
    <w:rsid w:val="00124B52"/>
    <w:rsid w:val="0015701A"/>
    <w:rsid w:val="001647F8"/>
    <w:rsid w:val="00175A1B"/>
    <w:rsid w:val="001765C6"/>
    <w:rsid w:val="00195632"/>
    <w:rsid w:val="00196C42"/>
    <w:rsid w:val="001A1C23"/>
    <w:rsid w:val="001B4CE2"/>
    <w:rsid w:val="001E43B4"/>
    <w:rsid w:val="00227856"/>
    <w:rsid w:val="00276D44"/>
    <w:rsid w:val="002B4DDE"/>
    <w:rsid w:val="002E27F9"/>
    <w:rsid w:val="00306659"/>
    <w:rsid w:val="00317ECB"/>
    <w:rsid w:val="00334550"/>
    <w:rsid w:val="003612D4"/>
    <w:rsid w:val="00365B17"/>
    <w:rsid w:val="003E00B4"/>
    <w:rsid w:val="003F1499"/>
    <w:rsid w:val="004229A9"/>
    <w:rsid w:val="0047523F"/>
    <w:rsid w:val="00494738"/>
    <w:rsid w:val="004B0F64"/>
    <w:rsid w:val="004B7C03"/>
    <w:rsid w:val="004C2A29"/>
    <w:rsid w:val="004F44D4"/>
    <w:rsid w:val="00520F55"/>
    <w:rsid w:val="005454C7"/>
    <w:rsid w:val="00596C92"/>
    <w:rsid w:val="005A455C"/>
    <w:rsid w:val="005C26CB"/>
    <w:rsid w:val="006057E4"/>
    <w:rsid w:val="006125D7"/>
    <w:rsid w:val="00624DFD"/>
    <w:rsid w:val="006C64DB"/>
    <w:rsid w:val="006D73C3"/>
    <w:rsid w:val="006E3FC1"/>
    <w:rsid w:val="006F50FF"/>
    <w:rsid w:val="00700D81"/>
    <w:rsid w:val="007415CD"/>
    <w:rsid w:val="0076409E"/>
    <w:rsid w:val="007F3085"/>
    <w:rsid w:val="007F7F25"/>
    <w:rsid w:val="0082475A"/>
    <w:rsid w:val="00836BD6"/>
    <w:rsid w:val="00841719"/>
    <w:rsid w:val="00875F7D"/>
    <w:rsid w:val="00883CA1"/>
    <w:rsid w:val="00901623"/>
    <w:rsid w:val="00932FB7"/>
    <w:rsid w:val="0094700A"/>
    <w:rsid w:val="00956CAE"/>
    <w:rsid w:val="00974AB9"/>
    <w:rsid w:val="00976B49"/>
    <w:rsid w:val="00981715"/>
    <w:rsid w:val="00992C84"/>
    <w:rsid w:val="009B36F0"/>
    <w:rsid w:val="009D4432"/>
    <w:rsid w:val="009E2810"/>
    <w:rsid w:val="00A354FC"/>
    <w:rsid w:val="00AA5160"/>
    <w:rsid w:val="00AC04AB"/>
    <w:rsid w:val="00AC07FB"/>
    <w:rsid w:val="00B125CB"/>
    <w:rsid w:val="00B45B6C"/>
    <w:rsid w:val="00B97412"/>
    <w:rsid w:val="00BD5115"/>
    <w:rsid w:val="00BE0B60"/>
    <w:rsid w:val="00C36FD5"/>
    <w:rsid w:val="00C4709D"/>
    <w:rsid w:val="00CA6880"/>
    <w:rsid w:val="00DB5866"/>
    <w:rsid w:val="00DD3BEF"/>
    <w:rsid w:val="00DF1159"/>
    <w:rsid w:val="00DF47EC"/>
    <w:rsid w:val="00E4326B"/>
    <w:rsid w:val="00E46F9C"/>
    <w:rsid w:val="00E47AB0"/>
    <w:rsid w:val="00E672E3"/>
    <w:rsid w:val="00E72167"/>
    <w:rsid w:val="00E93B55"/>
    <w:rsid w:val="00ED622B"/>
    <w:rsid w:val="00F16A12"/>
    <w:rsid w:val="00F222E9"/>
    <w:rsid w:val="00F67E71"/>
    <w:rsid w:val="00FB45F5"/>
    <w:rsid w:val="00FD4067"/>
    <w:rsid w:val="00FE41E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00EF"/>
  <w15:chartTrackingRefBased/>
  <w15:docId w15:val="{8EE20518-8ECD-4C7B-8715-6A9A311E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4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26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6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B45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5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4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4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3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44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D4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tze.vellema@wur.nl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uten@rsm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ling@rsm.n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177%2F1356389019869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E970C-D735-4621-A011-DFB5D463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Greetje Schouten</dc:creator>
  <cp:keywords/>
  <dc:description/>
  <cp:lastModifiedBy>M. Faling</cp:lastModifiedBy>
  <cp:revision>8</cp:revision>
  <dcterms:created xsi:type="dcterms:W3CDTF">2019-09-04T13:25:00Z</dcterms:created>
  <dcterms:modified xsi:type="dcterms:W3CDTF">2019-09-20T14:18:00Z</dcterms:modified>
</cp:coreProperties>
</file>